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6E54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-724"/>
        <w:jc w:val="center"/>
        <w:rPr>
          <w:b/>
          <w:color w:val="000000"/>
          <w:sz w:val="34"/>
          <w:szCs w:val="34"/>
        </w:rPr>
      </w:pPr>
      <w:bookmarkStart w:id="0" w:name="_GoBack"/>
      <w:bookmarkEnd w:id="0"/>
      <w:r>
        <w:rPr>
          <w:b/>
          <w:color w:val="000000"/>
          <w:sz w:val="34"/>
          <w:szCs w:val="34"/>
        </w:rPr>
        <w:t xml:space="preserve">DKG Constitutional and International Standing Rule Amendments July 2018 </w:t>
      </w:r>
    </w:p>
    <w:p w14:paraId="60C96A66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ind w:left="4382" w:right="3585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Finance</w:t>
      </w:r>
      <w:r>
        <w:rPr>
          <w:b/>
          <w:color w:val="000000"/>
          <w:sz w:val="28"/>
          <w:szCs w:val="28"/>
        </w:rPr>
        <w:t xml:space="preserve"> </w:t>
      </w:r>
    </w:p>
    <w:p w14:paraId="2A03BBC0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2" w:right="4982" w:firstLine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IV | Finance </w:t>
      </w:r>
    </w:p>
    <w:p w14:paraId="6C466F6B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62" w:right="4982" w:firstLine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Section C. Payments of Dues and Fees </w:t>
      </w:r>
    </w:p>
    <w:p w14:paraId="652D3E53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50" w:right="-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The membership year is July 1-June 30. A member shall pay annual dues and fees no </w:t>
      </w:r>
    </w:p>
    <w:p w14:paraId="13BCEA12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6" w:right="-374"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later than June 30 for the following fiscal year. </w:t>
      </w:r>
    </w:p>
    <w:p w14:paraId="516C67F0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6" w:right="-374"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For membership or reinstatement commencing between July 1 and December 31, </w:t>
      </w:r>
    </w:p>
    <w:p w14:paraId="46DC5341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624" w:right="-4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member shall pay induction fee (new member only), dues, and scholarship fee for the current year. For membership commencin</w:t>
      </w:r>
      <w:r>
        <w:rPr>
          <w:color w:val="000000"/>
          <w:sz w:val="24"/>
          <w:szCs w:val="24"/>
        </w:rPr>
        <w:t xml:space="preserve">g on or after January 1, the member shall pay one-half the international membership dues. Chapter and state </w:t>
      </w:r>
    </w:p>
    <w:p w14:paraId="0D72C221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31" w:right="-76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 dues may be pro-rated as the chapter/ state organization determines. </w:t>
      </w:r>
    </w:p>
    <w:p w14:paraId="068E137B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31" w:right="-7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Immediately thereafter, the state organization and international portions of the dues </w:t>
      </w:r>
    </w:p>
    <w:p w14:paraId="138DFE99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11" w:right="-163" w:firstLine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fees shall be sent to the state organization treasurer. </w:t>
      </w:r>
    </w:p>
    <w:p w14:paraId="496CEDCD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11" w:right="-163" w:firstLine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The international portion of the dues and fees shall be sent between July 1 and </w:t>
      </w:r>
    </w:p>
    <w:p w14:paraId="72EBB07B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88" w:right="-552" w:firstLine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September 30. </w:t>
      </w:r>
    </w:p>
    <w:p w14:paraId="56DE44CF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88" w:right="-552" w:firstLine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A member who fails to complete payment of international dues shall be dropped as </w:t>
      </w:r>
    </w:p>
    <w:p w14:paraId="2802A938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-86" w:firstLine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October 1. </w:t>
      </w:r>
    </w:p>
    <w:p w14:paraId="09229207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-86" w:firstLine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Proviso: This bylaw w</w:t>
      </w:r>
      <w:r>
        <w:rPr>
          <w:sz w:val="24"/>
          <w:szCs w:val="24"/>
        </w:rPr>
        <w:t xml:space="preserve">ill </w:t>
      </w:r>
      <w:r>
        <w:rPr>
          <w:color w:val="000000"/>
          <w:sz w:val="24"/>
          <w:szCs w:val="24"/>
        </w:rPr>
        <w:t xml:space="preserve">take effect in 2019, </w:t>
      </w:r>
    </w:p>
    <w:p w14:paraId="0E48D15D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-62" w:right="51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IV | Finance Section F. Funds </w:t>
      </w:r>
    </w:p>
    <w:p w14:paraId="1A94A6D1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3" w:right="50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The Scholarship Fund - all levels </w:t>
      </w:r>
    </w:p>
    <w:p w14:paraId="53D06515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right="10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The scholarship fee paid by a member shall be divided as follows: </w:t>
      </w:r>
    </w:p>
    <w:p w14:paraId="7CC2C991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79" w:right="-585" w:hanging="1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 one hundred percent (100%) to the state organization fund if the chapter does not maintain a chapter scholarship fund or twenty percent (20%) to the state organization fund if the ch</w:t>
      </w:r>
      <w:r>
        <w:rPr>
          <w:color w:val="000000"/>
          <w:sz w:val="24"/>
          <w:szCs w:val="24"/>
        </w:rPr>
        <w:t>apter does maintain a chapter scholarship fund</w:t>
      </w:r>
    </w:p>
    <w:p w14:paraId="57BBB1F1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79" w:right="-585" w:hanging="1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(2) e</w:t>
      </w:r>
      <w:r>
        <w:rPr>
          <w:color w:val="000000"/>
          <w:sz w:val="24"/>
          <w:szCs w:val="24"/>
          <w:u w:val="single"/>
        </w:rPr>
        <w:t>i</w:t>
      </w:r>
      <w:r>
        <w:rPr>
          <w:color w:val="000000"/>
          <w:sz w:val="24"/>
          <w:szCs w:val="24"/>
        </w:rPr>
        <w:t xml:space="preserve">ghty percent (80%) retained by the chapter having a chapter scholarship fund. </w:t>
      </w:r>
    </w:p>
    <w:p w14:paraId="56A6448A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-115" w:right="5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IV | Finance Section F. Funds </w:t>
      </w:r>
    </w:p>
    <w:p w14:paraId="43A041BE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" w:right="2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The Permanent Fund - international and state organization </w:t>
      </w:r>
    </w:p>
    <w:p w14:paraId="7606E72B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580" w:right="57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color w:val="000000"/>
          <w:sz w:val="24"/>
          <w:szCs w:val="24"/>
        </w:rPr>
        <w:t xml:space="preserve"> Each state organization with a headquarters facility shall follow the above (Section F. 3. b.) formula. When the percentage has been reached, the state organization executive board may reduce or discontinue further allocations.</w:t>
      </w:r>
    </w:p>
    <w:p w14:paraId="01DF51F7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58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Each state organization </w:t>
      </w:r>
      <w:r>
        <w:rPr>
          <w:color w:val="000000"/>
          <w:sz w:val="24"/>
          <w:szCs w:val="24"/>
        </w:rPr>
        <w:t xml:space="preserve">which does not have a headquarters building should maintain an available fund reserve which is not less than one year's operating expenses. </w:t>
      </w:r>
    </w:p>
    <w:p w14:paraId="6F580F39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7" w:right="-552" w:hanging="1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 State organizations without a headquarters building are not required to maintain a permanent fund; but are required to maintain an Available Fund Reserve. These state organizations without a headquarters building shall set aside up to twenty- percent (</w:t>
      </w:r>
      <w:r>
        <w:rPr>
          <w:color w:val="000000"/>
          <w:sz w:val="24"/>
          <w:szCs w:val="24"/>
        </w:rPr>
        <w:t xml:space="preserve">20%) of their state organization dues until the total of the Available Fund </w:t>
      </w:r>
      <w:r>
        <w:rPr>
          <w:color w:val="000000"/>
          <w:sz w:val="24"/>
          <w:szCs w:val="24"/>
        </w:rPr>
        <w:lastRenderedPageBreak/>
        <w:t xml:space="preserve">Reserve equals one year's operating expenses at which time the state organization executive board may reduce or discontinue further allocations. </w:t>
      </w:r>
    </w:p>
    <w:p w14:paraId="204CFB24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7" w:right="-552" w:hanging="1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(2) The Available Fund Reserve may</w:t>
      </w:r>
      <w:r>
        <w:rPr>
          <w:color w:val="000000"/>
          <w:sz w:val="24"/>
          <w:szCs w:val="24"/>
        </w:rPr>
        <w:t xml:space="preserve"> be used at the discretion of the state </w:t>
      </w:r>
    </w:p>
    <w:p w14:paraId="444B612E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291" w:right="-331" w:firstLin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 executive board. </w:t>
      </w:r>
    </w:p>
    <w:p w14:paraId="1ADBF808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571" w:right="-331" w:firstLin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e. Investment income from the international permanent fund shall be allocated to the international available fund when received. Proceeds from the sale of international/state organizat</w:t>
      </w:r>
      <w:r>
        <w:rPr>
          <w:color w:val="000000"/>
          <w:sz w:val="24"/>
          <w:szCs w:val="24"/>
        </w:rPr>
        <w:t>ion permanent fund assets shall be added to the principal of the international/state organization permanent fund, Investment income from the state organization permanent fund may be allocated to the state organization available fund by vote of the state or</w:t>
      </w:r>
      <w:r>
        <w:rPr>
          <w:color w:val="000000"/>
          <w:sz w:val="24"/>
          <w:szCs w:val="24"/>
        </w:rPr>
        <w:t xml:space="preserve">ganization executive board. </w:t>
      </w:r>
    </w:p>
    <w:p w14:paraId="03C707FA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571" w:right="-331" w:firstLin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 The principal of the Society and state organization permanent funds shall be used for the following: </w:t>
      </w:r>
    </w:p>
    <w:p w14:paraId="0589B6B9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372" w:right="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(1) purchasing initiation paraphernalia; </w:t>
      </w:r>
    </w:p>
    <w:p w14:paraId="0F3393D4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372" w:right="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purchasing articles and equipment of a permanent nature; </w:t>
      </w:r>
    </w:p>
    <w:p w14:paraId="48BADD78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372" w:right="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(3) licenses for computer software; </w:t>
      </w:r>
    </w:p>
    <w:p w14:paraId="43CF19F0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372" w:right="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(4) renting office space; </w:t>
      </w:r>
    </w:p>
    <w:p w14:paraId="7B22E1C1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372" w:right="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(5) constructing a headquarters buildin</w:t>
      </w:r>
      <w:r>
        <w:rPr>
          <w:color w:val="000000"/>
          <w:sz w:val="24"/>
          <w:szCs w:val="24"/>
          <w:u w:val="single"/>
        </w:rPr>
        <w:t>g</w:t>
      </w:r>
      <w:r>
        <w:rPr>
          <w:color w:val="000000"/>
          <w:sz w:val="24"/>
          <w:szCs w:val="24"/>
        </w:rPr>
        <w:t xml:space="preserve">; and </w:t>
      </w:r>
    </w:p>
    <w:p w14:paraId="043B9397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63" w:right="-412" w:firstLine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(6) furnishin</w:t>
      </w:r>
      <w:r>
        <w:rPr>
          <w:color w:val="000000"/>
          <w:sz w:val="24"/>
          <w:szCs w:val="24"/>
          <w:u w:val="single"/>
        </w:rPr>
        <w:t xml:space="preserve">g </w:t>
      </w:r>
      <w:r>
        <w:rPr>
          <w:color w:val="000000"/>
          <w:sz w:val="24"/>
          <w:szCs w:val="24"/>
        </w:rPr>
        <w:t xml:space="preserve">a headquarters building. </w:t>
      </w:r>
    </w:p>
    <w:p w14:paraId="7C99BFAC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643" w:right="-412" w:firstLine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g. International expenditures shall be reviewed by the Finance Committee and authorized by the Executive</w:t>
      </w:r>
      <w:r>
        <w:rPr>
          <w:color w:val="000000"/>
          <w:sz w:val="24"/>
          <w:szCs w:val="24"/>
        </w:rPr>
        <w:t xml:space="preserve"> Board. Expenditures from the state organization fund shall be authorized by the state organization executive board. </w:t>
      </w:r>
    </w:p>
    <w:p w14:paraId="315B360D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-48" w:right="5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VI | Officers Section C. Duties </w:t>
      </w:r>
    </w:p>
    <w:p w14:paraId="13356146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307" w:right="39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Treasurer - state organization and chapter </w:t>
      </w:r>
    </w:p>
    <w:p w14:paraId="01E17806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648" w:right="45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The treasurer at each level shall </w:t>
      </w:r>
    </w:p>
    <w:p w14:paraId="41C63D7F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74" w:right="-681" w:hanging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 receive and pay out all moneys belongi</w:t>
      </w:r>
      <w:r>
        <w:rPr>
          <w:color w:val="000000"/>
          <w:sz w:val="24"/>
          <w:szCs w:val="24"/>
          <w:u w:val="single"/>
        </w:rPr>
        <w:t xml:space="preserve">ng </w:t>
      </w:r>
      <w:r>
        <w:rPr>
          <w:color w:val="000000"/>
          <w:sz w:val="24"/>
          <w:szCs w:val="24"/>
        </w:rPr>
        <w:t xml:space="preserve">to the organization; </w:t>
      </w:r>
    </w:p>
    <w:p w14:paraId="6D31F745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74" w:right="-681" w:hanging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keep an accurate account of receipts and expenditures; </w:t>
      </w:r>
    </w:p>
    <w:p w14:paraId="30E80382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74" w:right="-681" w:hanging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(3) maintain a record of receipts, bills, and bank statements; </w:t>
      </w:r>
    </w:p>
    <w:p w14:paraId="4FDB6C5D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74" w:right="-681" w:hanging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(4) present a report at each regular meeting; </w:t>
      </w:r>
    </w:p>
    <w:p w14:paraId="2FD91955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74" w:right="-681" w:hanging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(5) file required </w:t>
      </w:r>
      <w:r>
        <w:rPr>
          <w:color w:val="000000"/>
          <w:sz w:val="24"/>
          <w:szCs w:val="24"/>
        </w:rPr>
        <w:t xml:space="preserve">tax reports; </w:t>
      </w:r>
    </w:p>
    <w:p w14:paraId="36AD9AC9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74" w:right="-681" w:hanging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(6) submit for annual audit/financial review the accounts of the organization; </w:t>
      </w:r>
    </w:p>
    <w:p w14:paraId="3D17E0BE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74" w:right="-681" w:hanging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(7) serve as a member ex officio, without vote if under remunerative contract for her services, on the respective executive board </w:t>
      </w:r>
    </w:p>
    <w:p w14:paraId="5815BD0D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74" w:right="-681" w:hanging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(8) serve as a consultant in the process of budget development and supervision of finances; and </w:t>
      </w:r>
    </w:p>
    <w:p w14:paraId="5502885E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774" w:right="-681" w:hanging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(9) maintain an accurate and current membership roster. </w:t>
      </w:r>
    </w:p>
    <w:p w14:paraId="5D366686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4" w:right="-575" w:firstLine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ISR 4.0 | Finance-General </w:t>
      </w:r>
    </w:p>
    <w:p w14:paraId="0B07FD7F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4" w:right="-575" w:firstLine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 Dues </w:t>
      </w:r>
    </w:p>
    <w:p w14:paraId="4C94AA4E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4" w:right="-575" w:firstLine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4.11 International active dues shall be forty dollars (U.S. $40),</w:t>
      </w:r>
      <w:r>
        <w:rPr>
          <w:color w:val="000000"/>
          <w:sz w:val="24"/>
          <w:szCs w:val="24"/>
        </w:rPr>
        <w:t xml:space="preserve"> and international reserve and collegiate dues shall be twenty dollars (U.S. $20). Beginning in 2012 international active and international reserve and collegiate dues may be adjusted each biennium based on the United States of America Social Security Admi</w:t>
      </w:r>
      <w:r>
        <w:rPr>
          <w:color w:val="000000"/>
          <w:sz w:val="24"/>
          <w:szCs w:val="24"/>
        </w:rPr>
        <w:t xml:space="preserve">nistration's Cost of Living Adjustment (COLA) average for the previous two (2) years, rounded up to the nearest whole dollar. </w:t>
      </w:r>
    </w:p>
    <w:p w14:paraId="7E5662E0" w14:textId="77777777" w:rsidR="00F07514" w:rsidRDefault="00F07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67" w:right="4948"/>
        <w:rPr>
          <w:sz w:val="24"/>
          <w:szCs w:val="24"/>
        </w:rPr>
      </w:pPr>
    </w:p>
    <w:p w14:paraId="531C24D5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67" w:right="49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ISR 4.0 | Finance-General </w:t>
      </w:r>
    </w:p>
    <w:p w14:paraId="79BDEA26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67" w:right="49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 Fees </w:t>
      </w:r>
    </w:p>
    <w:p w14:paraId="05CCADCB" w14:textId="77777777" w:rsidR="00F07514" w:rsidRDefault="00F07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67" w:right="4948"/>
        <w:rPr>
          <w:sz w:val="24"/>
          <w:szCs w:val="24"/>
        </w:rPr>
      </w:pPr>
    </w:p>
    <w:p w14:paraId="1833ED23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67" w:right="49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4.21 Initiation Fee </w:t>
      </w:r>
    </w:p>
    <w:p w14:paraId="1B1D0786" w14:textId="77777777" w:rsidR="00F07514" w:rsidRDefault="00466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67" w:right="49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The initiation fee shall be allocated: Chapter...... ......</w:t>
      </w:r>
      <w:r>
        <w:rPr>
          <w:color w:val="000000"/>
          <w:sz w:val="24"/>
          <w:szCs w:val="24"/>
        </w:rPr>
        <w:t xml:space="preserve">...U.S. $7.50 State Organization...........U.S. $2.50 </w:t>
      </w:r>
    </w:p>
    <w:sectPr w:rsidR="00F075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14"/>
    <w:rsid w:val="00466671"/>
    <w:rsid w:val="00F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A3EB4"/>
  <w15:docId w15:val="{17C33A25-05EB-3F4A-9055-EF370449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McNally</cp:lastModifiedBy>
  <cp:revision>2</cp:revision>
  <dcterms:created xsi:type="dcterms:W3CDTF">2019-01-09T17:27:00Z</dcterms:created>
  <dcterms:modified xsi:type="dcterms:W3CDTF">2019-01-09T17:27:00Z</dcterms:modified>
</cp:coreProperties>
</file>